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7047230" cy="5158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158740"/>
                    </a:xfrm>
                    <a:prstGeom prst="rect">
                      <a:avLst/>
                    </a:prstGeom>
                    <a:noFill/>
                  </pic:spPr>
                </pic:pic>
              </a:graphicData>
            </a:graphic>
          </wp:anchor>
        </w:drawing>
      </w:r>
    </w:p>
    <w:p>
      <w:pPr>
        <w:spacing w:after="0" w:line="1169"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Jackson William C</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SOLV Energy,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MWH</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40" w:type="dxa"/>
            <w:vAlign w:val="bottom"/>
            <w:gridSpan w:val="4"/>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560" w:type="dxa"/>
            <w:vAlign w:val="bottom"/>
            <w:tcBorders>
              <w:bottom w:val="single" w:sz="8" w:color="0000EE"/>
            </w:tcBorders>
          </w:tcPr>
          <w:p>
            <w:pPr>
              <w:spacing w:after="0"/>
              <w:rPr>
                <w:sz w:val="6"/>
                <w:szCs w:val="6"/>
                <w:color w:val="auto"/>
              </w:rPr>
            </w:pPr>
          </w:p>
        </w:tc>
        <w:tc>
          <w:tcPr>
            <w:tcW w:w="2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40" w:type="dxa"/>
            <w:vAlign w:val="bottom"/>
            <w:gridSpan w:val="4"/>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7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06/04/2026</w:t>
            </w:r>
          </w:p>
        </w:tc>
        <w:tc>
          <w:tcPr>
            <w:tcW w:w="22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SOLV ENERGY, INC.</w:t>
            </w:r>
          </w:p>
        </w:tc>
        <w:tc>
          <w:tcPr>
            <w:tcW w:w="1220" w:type="dxa"/>
            <w:vAlign w:val="bottom"/>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22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16680 WEST BERNARDO DRIVE</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92127</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7"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8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Expiration</w:t>
            </w:r>
          </w:p>
        </w:tc>
        <w:tc>
          <w:tcPr>
            <w:tcW w:w="66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SOLV</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Energy</w:t>
            </w:r>
          </w:p>
        </w:tc>
        <w:tc>
          <w:tcPr>
            <w:tcW w:w="7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vMerge w:val="restart"/>
          </w:tcPr>
          <w:p>
            <w:pPr>
              <w:jc w:val="center"/>
              <w:ind w:right="21"/>
              <w:spacing w:after="0"/>
              <w:rPr>
                <w:sz w:val="20"/>
                <w:szCs w:val="20"/>
                <w:color w:val="auto"/>
              </w:rPr>
            </w:pPr>
            <w:r>
              <w:rPr>
                <w:rFonts w:ascii="Times New Roman" w:cs="Times New Roman" w:eastAsia="Times New Roman" w:hAnsi="Times New Roman"/>
                <w:sz w:val="13"/>
                <w:szCs w:val="13"/>
                <w:color w:val="0000FF"/>
              </w:rPr>
              <w:t>454</w:t>
            </w:r>
            <w:r>
              <w:rPr>
                <w:rFonts w:ascii="Times New Roman" w:cs="Times New Roman" w:eastAsia="Times New Roman" w:hAnsi="Times New Roman"/>
                <w:sz w:val="21"/>
                <w:szCs w:val="21"/>
                <w:color w:val="008000"/>
                <w:vertAlign w:val="superscript"/>
              </w:rPr>
              <w:t>(3)</w:t>
            </w: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Class A</w:t>
            </w:r>
          </w:p>
        </w:tc>
        <w:tc>
          <w:tcPr>
            <w:tcW w:w="580" w:type="dxa"/>
            <w:vAlign w:val="bottom"/>
            <w:vMerge w:val="restart"/>
          </w:tcPr>
          <w:p>
            <w:pPr>
              <w:jc w:val="center"/>
              <w:ind w:right="35"/>
              <w:spacing w:after="0"/>
              <w:rPr>
                <w:sz w:val="20"/>
                <w:szCs w:val="20"/>
                <w:color w:val="auto"/>
              </w:rPr>
            </w:pPr>
            <w:r>
              <w:rPr>
                <w:rFonts w:ascii="Times New Roman" w:cs="Times New Roman" w:eastAsia="Times New Roman" w:hAnsi="Times New Roman"/>
                <w:sz w:val="17"/>
                <w:szCs w:val="17"/>
                <w:color w:val="0000FF"/>
              </w:rPr>
              <w:t>454</w:t>
            </w:r>
            <w:r>
              <w:rPr>
                <w:rFonts w:ascii="Times New Roman" w:cs="Times New Roman" w:eastAsia="Times New Roman" w:hAnsi="Times New Roman"/>
                <w:sz w:val="21"/>
                <w:szCs w:val="21"/>
                <w:color w:val="008000"/>
                <w:vertAlign w:val="superscript"/>
              </w:rPr>
              <w:t>(3)</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Holdings</w:t>
            </w:r>
          </w:p>
        </w:tc>
        <w:tc>
          <w:tcPr>
            <w:tcW w:w="780" w:type="dxa"/>
            <w:vAlign w:val="bottom"/>
            <w:vMerge w:val="continue"/>
          </w:tcPr>
          <w:p>
            <w:pPr>
              <w:spacing w:after="0"/>
              <w:rPr>
                <w:sz w:val="12"/>
                <w:szCs w:val="12"/>
                <w:color w:val="auto"/>
              </w:rPr>
            </w:pPr>
          </w:p>
        </w:tc>
        <w:tc>
          <w:tcPr>
            <w:tcW w:w="1060" w:type="dxa"/>
            <w:vAlign w:val="bottom"/>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06/04/2026</w:t>
            </w:r>
          </w:p>
        </w:tc>
        <w:tc>
          <w:tcPr>
            <w:tcW w:w="1080" w:type="dxa"/>
            <w:vAlign w:val="bottom"/>
          </w:tcPr>
          <w:p>
            <w:pPr>
              <w:spacing w:after="0"/>
              <w:rPr>
                <w:sz w:val="12"/>
                <w:szCs w:val="12"/>
                <w:color w:val="auto"/>
              </w:rPr>
            </w:pPr>
          </w:p>
        </w:tc>
        <w:tc>
          <w:tcPr>
            <w:tcW w:w="8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8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tcPr>
          <w:p>
            <w:pPr>
              <w:jc w:val="right"/>
              <w:ind w:right="221"/>
              <w:spacing w:after="0" w:line="141" w:lineRule="exact"/>
              <w:rPr>
                <w:sz w:val="20"/>
                <w:szCs w:val="20"/>
                <w:color w:val="auto"/>
              </w:rPr>
            </w:pPr>
            <w:r>
              <w:rPr>
                <w:rFonts w:ascii="Times New Roman" w:cs="Times New Roman" w:eastAsia="Times New Roman" w:hAnsi="Times New Roman"/>
                <w:sz w:val="13"/>
                <w:szCs w:val="13"/>
                <w:color w:val="0000FF"/>
              </w:rPr>
              <w:t>32,604</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LLC</w:t>
            </w: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Interests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SOLV</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Energy</w:t>
            </w:r>
          </w:p>
        </w:tc>
        <w:tc>
          <w:tcPr>
            <w:tcW w:w="7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1,849</w:t>
            </w:r>
            <w:r>
              <w:rPr>
                <w:rFonts w:ascii="Times New Roman" w:cs="Times New Roman" w:eastAsia="Times New Roman" w:hAnsi="Times New Roman"/>
                <w:sz w:val="21"/>
                <w:szCs w:val="21"/>
                <w:color w:val="008000"/>
                <w:vertAlign w:val="superscript"/>
              </w:rPr>
              <w:t>(3)</w:t>
            </w: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Class A</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1,849</w:t>
            </w:r>
            <w:r>
              <w:rPr>
                <w:rFonts w:ascii="Times New Roman" w:cs="Times New Roman" w:eastAsia="Times New Roman" w:hAnsi="Times New Roman"/>
                <w:sz w:val="21"/>
                <w:szCs w:val="21"/>
                <w:color w:val="008000"/>
                <w:w w:val="91"/>
                <w:vertAlign w:val="superscript"/>
              </w:rPr>
              <w:t>(3)</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Holdings</w:t>
            </w:r>
          </w:p>
        </w:tc>
        <w:tc>
          <w:tcPr>
            <w:tcW w:w="780" w:type="dxa"/>
            <w:vAlign w:val="bottom"/>
            <w:vMerge w:val="continue"/>
          </w:tcPr>
          <w:p>
            <w:pPr>
              <w:spacing w:after="0"/>
              <w:rPr>
                <w:sz w:val="12"/>
                <w:szCs w:val="12"/>
                <w:color w:val="auto"/>
              </w:rPr>
            </w:pPr>
          </w:p>
        </w:tc>
        <w:tc>
          <w:tcPr>
            <w:tcW w:w="1060" w:type="dxa"/>
            <w:vAlign w:val="bottom"/>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06/04/2026</w:t>
            </w:r>
          </w:p>
        </w:tc>
        <w:tc>
          <w:tcPr>
            <w:tcW w:w="1080" w:type="dxa"/>
            <w:vAlign w:val="bottom"/>
          </w:tcPr>
          <w:p>
            <w:pPr>
              <w:spacing w:after="0"/>
              <w:rPr>
                <w:sz w:val="12"/>
                <w:szCs w:val="12"/>
                <w:color w:val="auto"/>
              </w:rPr>
            </w:pPr>
          </w:p>
        </w:tc>
        <w:tc>
          <w:tcPr>
            <w:tcW w:w="8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8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132,778</w:t>
            </w:r>
          </w:p>
        </w:tc>
        <w:tc>
          <w:tcPr>
            <w:tcW w:w="74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74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By Trust</w:t>
            </w:r>
          </w:p>
        </w:tc>
        <w:tc>
          <w:tcPr>
            <w:tcW w:w="0" w:type="dxa"/>
            <w:vAlign w:val="bottom"/>
          </w:tcPr>
          <w:p>
            <w:pPr>
              <w:spacing w:after="0"/>
              <w:rPr>
                <w:sz w:val="1"/>
                <w:szCs w:val="1"/>
                <w:color w:val="auto"/>
              </w:rPr>
            </w:pPr>
          </w:p>
        </w:tc>
      </w:tr>
      <w:tr>
        <w:trPr>
          <w:trHeight w:val="15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Interests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220" w:firstLine="1"/>
        <w:spacing w:after="0" w:line="23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limited liability company agreement ("Opco LLCA") of SOLV Energy Holdings LLC ("Opco"), the Reporting Person is entitled to redeem common units of Opco ("Opco LLC Interests") for, at the Issuer's election, shares of Class A common stock of the Issuer ("Class A common stock") on a one-for-one basis or, using proceeds from a substantially contemporaneous follow-on offering or secondary offering, a cash payment equal to the price per share of the Class A common stock net of any underwriting discounts or commissions paid in such offering, in each case in accordance with the terms of the Opco LLCA. Upon a redemption of Opco LLC Interests, an equal number of shares of Class B common stock of the Issuer held by the Reporting Person will be surrendered to and cancelled by the Issuer for no additional consideration.</w:t>
      </w:r>
    </w:p>
    <w:p>
      <w:pPr>
        <w:spacing w:after="0" w:line="25"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Each share of Class B common stock entitles the Reporting Person to one vote per share but carries no economic rights. Opco LLC Interests do not have an expiration date.</w:t>
      </w:r>
    </w:p>
    <w:p>
      <w:pPr>
        <w:spacing w:after="0" w:line="42" w:lineRule="exact"/>
        <w:rPr>
          <w:rFonts w:ascii="Times New Roman" w:cs="Times New Roman" w:eastAsia="Times New Roman" w:hAnsi="Times New Roman"/>
          <w:sz w:val="13"/>
          <w:szCs w:val="13"/>
          <w:color w:val="008000"/>
        </w:rPr>
      </w:pPr>
    </w:p>
    <w:p>
      <w:pPr>
        <w:ind w:left="40" w:right="320" w:firstLine="1"/>
        <w:spacing w:after="0" w:line="236"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direct exchange for cash of 454 Opco LLC Interests directly held and 1,849 Opco LLC Interests indirectly held by the Reporting Person (and the cancellation of an equal number of shares of Class B common stock of the Issuer held by the Reporting Person) as a result of the full exercise of the underwriters' option to purchase additional shares of Class A common stock in connection with the public offering of Class A common stock by affiliates of American Securities LLC and the Issuer pursuant to the prospectus dated May 28, 2026, and accompanying registration statement on Form S-1 (File No. 333-296238), of the Issuer (the "Follow-On Offering").</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price per Opco LLC Interest equal to the public offering price in the Follow-On Offering of $36.00 per share of Class A common stock, net of underwriting discounts and commissions.</w:t>
      </w:r>
    </w:p>
    <w:p>
      <w:pPr>
        <w:spacing w:after="0" w:line="5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Adam S. Forman, attorney-</w:t>
            </w:r>
          </w:p>
        </w:tc>
        <w:tc>
          <w:tcPr>
            <w:tcW w:w="80" w:type="dxa"/>
            <w:vAlign w:val="bottom"/>
          </w:tcPr>
          <w:p>
            <w:pPr>
              <w:spacing w:after="0"/>
              <w:rPr>
                <w:sz w:val="17"/>
                <w:szCs w:val="17"/>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2"/>
              </w:rPr>
              <w:t>06/05/2026</w:t>
            </w:r>
          </w:p>
        </w:tc>
        <w:tc>
          <w:tcPr>
            <w:tcW w:w="0" w:type="dxa"/>
            <w:vAlign w:val="bottom"/>
          </w:tcPr>
          <w:p>
            <w:pPr>
              <w:spacing w:after="0"/>
              <w:rPr>
                <w:sz w:val="1"/>
                <w:szCs w:val="1"/>
                <w:color w:val="auto"/>
              </w:rPr>
            </w:pPr>
          </w:p>
        </w:tc>
      </w:tr>
      <w:tr>
        <w:trPr>
          <w:trHeight w:val="82"/>
        </w:trPr>
        <w:tc>
          <w:tcPr>
            <w:tcW w:w="21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in-fact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22750" TargetMode="External"/><Relationship Id="rId14" Type="http://schemas.openxmlformats.org/officeDocument/2006/relationships/hyperlink" Target="http://www.sec.gov/cgi-bin/browse-edgar?action=getcompany&amp;CIK=000206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2026-06-05T16:00:15Z</dcterms:created>
  <dcterms:modified xsi:type="dcterms:W3CDTF">2026-06-05T16:00:15Z</dcterms:modified>
</cp:coreProperties>
</file>