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7047865" cy="4584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8406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Forman Adam S</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SOLV ENERGY,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16680 WEST BERNARDO DRIVE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SOLV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MWH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5" w:right="68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1015"/>
        <w:spacing w:after="0"/>
        <w:rPr>
          <w:sz w:val="20"/>
          <w:szCs w:val="20"/>
          <w:color w:val="auto"/>
        </w:rPr>
      </w:pPr>
      <w:r>
        <w:rPr>
          <w:rFonts w:ascii="Times New Roman" w:cs="Times New Roman" w:eastAsia="Times New Roman" w:hAnsi="Times New Roman"/>
          <w:sz w:val="16"/>
          <w:szCs w:val="16"/>
          <w:color w:val="0000FF"/>
        </w:rPr>
        <w:t>CLO &amp; Secretary</w:t>
      </w:r>
    </w:p>
    <w:p>
      <w:pPr>
        <w:spacing w:after="0" w:line="393" w:lineRule="exact"/>
        <w:rPr>
          <w:sz w:val="24"/>
          <w:szCs w:val="24"/>
          <w:color w:val="auto"/>
        </w:rPr>
      </w:pPr>
    </w:p>
    <w:p>
      <w:pPr>
        <w:sectPr>
          <w:pgSz w:w="11900" w:h="16838" w:orient="portrait"/>
          <w:cols w:equalWidth="0" w:num="3">
            <w:col w:w="3180" w:space="720"/>
            <w:col w:w="3105" w:space="720"/>
            <w:col w:w="335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72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9"/>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880" w:type="dxa"/>
            <w:vAlign w:val="bottom"/>
          </w:tcPr>
          <w:p>
            <w:pPr>
              <w:spacing w:after="0"/>
              <w:rPr>
                <w:sz w:val="9"/>
                <w:szCs w:val="9"/>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92127</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2"/>
          </w:tcPr>
          <w:p>
            <w:pPr>
              <w:ind w:left="7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gridSpan w:val="4"/>
          </w:tcPr>
          <w:p>
            <w:pPr>
              <w:spacing w:after="0"/>
              <w:rPr>
                <w:sz w:val="6"/>
                <w:szCs w:val="6"/>
                <w:color w:val="auto"/>
              </w:rPr>
            </w:pPr>
          </w:p>
        </w:tc>
        <w:tc>
          <w:tcPr>
            <w:tcW w:w="270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gridSpan w:val="9"/>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w w:val="99"/>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6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w w:val="96"/>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SOLV</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Energy</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w w:val="93"/>
              </w:rPr>
              <w:t>(1)(2)</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2,722</w:t>
            </w:r>
            <w:r>
              <w:rPr>
                <w:rFonts w:ascii="Times New Roman" w:cs="Times New Roman" w:eastAsia="Times New Roman" w:hAnsi="Times New Roman"/>
                <w:sz w:val="21"/>
                <w:szCs w:val="21"/>
                <w:color w:val="008000"/>
                <w:vertAlign w:val="superscript"/>
              </w:rPr>
              <w:t>(3)</w:t>
            </w:r>
          </w:p>
        </w:tc>
        <w:tc>
          <w:tcPr>
            <w:tcW w:w="7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(1)(2)</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(1)(2)</w:t>
            </w:r>
          </w:p>
        </w:tc>
        <w:tc>
          <w:tcPr>
            <w:tcW w:w="66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w w:val="99"/>
              </w:rPr>
              <w:t>2,722</w:t>
            </w:r>
            <w:r>
              <w:rPr>
                <w:rFonts w:ascii="Times New Roman" w:cs="Times New Roman" w:eastAsia="Times New Roman" w:hAnsi="Times New Roman"/>
                <w:sz w:val="21"/>
                <w:szCs w:val="21"/>
                <w:color w:val="008000"/>
                <w:w w:val="99"/>
                <w:vertAlign w:val="superscript"/>
              </w:rPr>
              <w:t>(3)</w:t>
            </w:r>
          </w:p>
        </w:tc>
        <w:tc>
          <w:tcPr>
            <w:tcW w:w="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Management</w:t>
            </w:r>
          </w:p>
        </w:tc>
        <w:tc>
          <w:tcPr>
            <w:tcW w:w="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ind w:left="220"/>
              <w:spacing w:after="0" w:line="139" w:lineRule="exact"/>
              <w:rPr>
                <w:sz w:val="20"/>
                <w:szCs w:val="20"/>
                <w:color w:val="auto"/>
              </w:rPr>
            </w:pPr>
            <w:r>
              <w:rPr>
                <w:rFonts w:ascii="Times New Roman" w:cs="Times New Roman" w:eastAsia="Times New Roman" w:hAnsi="Times New Roman"/>
                <w:sz w:val="13"/>
                <w:szCs w:val="13"/>
                <w:color w:val="0000FF"/>
              </w:rPr>
              <w:t>06/04/2026</w:t>
            </w: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9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3"/>
                <w:szCs w:val="13"/>
                <w:color w:val="0000FF"/>
              </w:rPr>
              <w:t>195,474</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Holdings LP</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jc w:val="both"/>
        <w:ind w:left="40" w:right="280" w:hanging="1"/>
        <w:spacing w:after="0" w:line="233"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Limited Partnership Agreement ("MH LPA") of SOLV Energy Management Holdings LP ("MH") and limited liability company agreement ("Opco LLCA") of SOLV Energy Holdings LLC ("Opco"), the Reporting Person is indirectly entitled to redeem common units of Opco ("Opco LLC Interests") held by MH for, at the Issuer's election, shares of Class A common stock of the Issuer ("Class A common stock") on a one-for-one basis or, using proceeds from a substantially contemporaneous follow-on offering or secondary offering, a cash payment equal to the price per share of the Class A common stock net of any underwriting discounts or commissions paid in such offering, in each case in accordance with the terms of the MH LPA and the Opco LLCA.</w:t>
      </w:r>
    </w:p>
    <w:p>
      <w:pPr>
        <w:spacing w:after="0" w:line="27"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Upon a redemption of Opco LLC Interests by MH, an equal number of shares of Class B common stock of the Issuer held by MH will be surrendered to and cancelled by the Issuer for no additional consideration, and an equal number of limited partnership units in MH ("MH Units") held by the Reporting Person will be cancelled by MH. In accordance with the MH LPA, each share of Class B common stock held by MH entitles the Reporting Person to one vote per share but carries no economic rights. Opco LLC Interests and MH Units do not have an expiration date.</w:t>
      </w:r>
    </w:p>
    <w:p>
      <w:pPr>
        <w:spacing w:after="0" w:line="25" w:lineRule="exact"/>
        <w:rPr>
          <w:rFonts w:ascii="Times New Roman" w:cs="Times New Roman" w:eastAsia="Times New Roman" w:hAnsi="Times New Roman"/>
          <w:sz w:val="13"/>
          <w:szCs w:val="13"/>
          <w:color w:val="008000"/>
        </w:rPr>
      </w:pPr>
    </w:p>
    <w:p>
      <w:pPr>
        <w:ind w:left="40" w:right="280" w:hanging="1"/>
        <w:spacing w:after="0" w:line="233"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MH LPA and Opco LLCA, represents the required, automatic and non-discretionary pro rata direct redemption for cash of 2,722 MH Units held by the Reporting Person (and the corresponding (i) surrender of an equal number of Opco LLC Interests held by MH and (ii) cancellation of an equal number of shares of Class B common stock of the Issuer held by MH) as a result of the full exercise of the underwriters' option to purchase additional shares of Class A common stock in connection with the public offering of Class A common stock by affiliates of American Securities LLC and the Issuer pursuant to the prospectus dated May 28, 2026, and accompanying registration statement on Form S-1 (File No. 333-296238), of the Issuer (the "Follow-On Offering").</w:t>
      </w:r>
    </w:p>
    <w:p>
      <w:pPr>
        <w:spacing w:after="0" w:line="27"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price per MH Unit equal to the public offering price in the Follow-On Offering of $36.00 per share of Class A common stock, net of underwriting discounts and commissions.</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Adam S. Forman</w:t>
            </w: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0000FF"/>
              </w:rPr>
              <w:t>06/05/2026</w:t>
            </w: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2970" TargetMode="External"/><Relationship Id="rId14" Type="http://schemas.openxmlformats.org/officeDocument/2006/relationships/hyperlink" Target="http://www.sec.gov/cgi-bin/browse-edgar?action=getcompany&amp;CIK=000206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2026-06-05T15:59:13Z</dcterms:created>
  <dcterms:modified xsi:type="dcterms:W3CDTF">2026-06-05T15:59:13Z</dcterms:modified>
</cp:coreProperties>
</file>