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15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58740"/>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Abram J Adam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SOLV Energy,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MWH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SOLV ENERGY, INC.</w:t>
            </w:r>
          </w:p>
        </w:tc>
        <w:tc>
          <w:tcPr>
            <w:tcW w:w="122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16680 WEST BERNARDO DRIVE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92127</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7"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8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Energy</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6"/>
              </w:rPr>
              <w:t>1,319</w:t>
            </w:r>
            <w:r>
              <w:rPr>
                <w:rFonts w:ascii="Times New Roman" w:cs="Times New Roman" w:eastAsia="Times New Roman" w:hAnsi="Times New Roman"/>
                <w:sz w:val="21"/>
                <w:szCs w:val="21"/>
                <w:color w:val="008000"/>
                <w:w w:val="96"/>
                <w:vertAlign w:val="superscript"/>
              </w:rPr>
              <w:t>(3)</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1,319</w:t>
            </w:r>
            <w:r>
              <w:rPr>
                <w:rFonts w:ascii="Times New Roman" w:cs="Times New Roman" w:eastAsia="Times New Roman" w:hAnsi="Times New Roman"/>
                <w:sz w:val="21"/>
                <w:szCs w:val="21"/>
                <w:color w:val="008000"/>
                <w:w w:val="98"/>
                <w:vertAlign w:val="superscript"/>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jc w:val="right"/>
              <w:ind w:right="221"/>
              <w:spacing w:after="0" w:line="141" w:lineRule="exact"/>
              <w:rPr>
                <w:sz w:val="20"/>
                <w:szCs w:val="20"/>
                <w:color w:val="auto"/>
              </w:rPr>
            </w:pPr>
            <w:r>
              <w:rPr>
                <w:rFonts w:ascii="Times New Roman" w:cs="Times New Roman" w:eastAsia="Times New Roman" w:hAnsi="Times New Roman"/>
                <w:sz w:val="13"/>
                <w:szCs w:val="13"/>
                <w:color w:val="0000FF"/>
              </w:rPr>
              <w:t>94,698</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LLC</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Interests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Energy</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6"/>
              </w:rPr>
              <w:t>3,639</w:t>
            </w:r>
            <w:r>
              <w:rPr>
                <w:rFonts w:ascii="Times New Roman" w:cs="Times New Roman" w:eastAsia="Times New Roman" w:hAnsi="Times New Roman"/>
                <w:sz w:val="21"/>
                <w:szCs w:val="21"/>
                <w:color w:val="008000"/>
                <w:w w:val="96"/>
                <w:vertAlign w:val="superscript"/>
              </w:rPr>
              <w:t>(3)</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3,639</w:t>
            </w:r>
            <w:r>
              <w:rPr>
                <w:rFonts w:ascii="Times New Roman" w:cs="Times New Roman" w:eastAsia="Times New Roman" w:hAnsi="Times New Roman"/>
                <w:sz w:val="21"/>
                <w:szCs w:val="21"/>
                <w:color w:val="008000"/>
                <w:w w:val="98"/>
                <w:vertAlign w:val="superscript"/>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261,304</w:t>
            </w:r>
          </w:p>
        </w:tc>
        <w:tc>
          <w:tcPr>
            <w:tcW w:w="7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By Trust</w:t>
            </w: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2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liability company agreement ("Opco LLCA") of SOLV Energy Holdings LLC ("Opco"), the Reporting Person is entitled to redeem common units of Opco ("Opco LLC Interests")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Opco LLCA. Upon a redemption of Opco LLC Interests, an equal number of shares of Class B common stock of the Issuer held by the Reporting Person will be surrendered to and cancelled by the Issuer for no additional consideration.</w:t>
      </w:r>
    </w:p>
    <w:p>
      <w:pPr>
        <w:spacing w:after="0" w:line="25"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share of Class B common stock entitles the Reporting Person to one vote per share but carries no economic rights. Opco LLC Interests do not have an expiration date.</w:t>
      </w:r>
    </w:p>
    <w:p>
      <w:pPr>
        <w:spacing w:after="0" w:line="42" w:lineRule="exact"/>
        <w:rPr>
          <w:rFonts w:ascii="Times New Roman" w:cs="Times New Roman" w:eastAsia="Times New Roman" w:hAnsi="Times New Roman"/>
          <w:sz w:val="13"/>
          <w:szCs w:val="13"/>
          <w:color w:val="008000"/>
        </w:rPr>
      </w:pPr>
    </w:p>
    <w:p>
      <w:pPr>
        <w:jc w:val="both"/>
        <w:ind w:left="40" w:right="32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direct exchange for cash of 1,319 Opco LLC Interests directly held and 3,639 Opco LLC Interests indirectly held by the Reporting Person (and the cancellation of an equal number of shares of Class B common stock of the Issuer held by the Reporting Person)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price per Opco LLC Interest equal to the public offering price in the Follow-On Offering of $36.00 per share of Class A common stock, net of underwriting discounts and commissions.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Adam S. Forman, attorney-</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06/05/2026</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5026" TargetMode="External"/><Relationship Id="rId14" Type="http://schemas.openxmlformats.org/officeDocument/2006/relationships/hyperlink" Target="http://www.sec.gov/cgi-bin/browse-edgar?action=getcompany&amp;CIK=000206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2026-06-05T15:53:29Z</dcterms:created>
  <dcterms:modified xsi:type="dcterms:W3CDTF">2026-06-05T15:53:29Z</dcterms:modified>
</cp:coreProperties>
</file>