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3"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00" w:type="dxa"/>
            <w:vAlign w:val="bottom"/>
            <w:vMerge w:val="restart"/>
          </w:tcPr>
          <w:p>
            <w:pPr>
              <w:jc w:val="right"/>
              <w:ind w:right="4"/>
              <w:spacing w:after="0"/>
              <w:rPr>
                <w:sz w:val="20"/>
                <w:szCs w:val="20"/>
                <w:color w:val="auto"/>
              </w:rPr>
            </w:pPr>
            <w:r>
              <w:rPr>
                <w:rFonts w:ascii="Arial" w:cs="Arial" w:eastAsia="Arial" w:hAnsi="Arial"/>
                <w:sz w:val="11"/>
                <w:szCs w:val="11"/>
                <w:color w:val="auto"/>
                <w:w w:val="98"/>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0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-607060</wp:posOffset>
            </wp:positionV>
            <wp:extent cx="57150"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039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-607060</wp:posOffset>
            </wp:positionV>
            <wp:extent cx="57150" cy="6203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039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645160</wp:posOffset>
            </wp:positionV>
            <wp:extent cx="7048500" cy="4364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364355"/>
                    </a:xfrm>
                    <a:prstGeom prst="rect">
                      <a:avLst/>
                    </a:prstGeom>
                    <a:noFill/>
                  </pic:spPr>
                </pic:pic>
              </a:graphicData>
            </a:graphic>
          </wp:anchor>
        </w:drawing>
      </w:r>
    </w:p>
    <w:p>
      <w:pPr>
        <w:spacing w:after="0" w:line="1031"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6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vMerge w:val="restart"/>
          </w:tcPr>
          <w:p>
            <w:pPr>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Plotkin Chad</w:t>
              </w:r>
            </w:hyperlink>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40" w:type="dxa"/>
            <w:vAlign w:val="bottom"/>
            <w:gridSpan w:val="5"/>
          </w:tcPr>
          <w:p>
            <w:pPr>
              <w:spacing w:after="0" w:line="163"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SOLV Energy,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MWH</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tcBorders>
              <w:bottom w:val="single" w:sz="8" w:color="0000EE"/>
            </w:tcBorders>
            <w:gridSpan w:val="2"/>
            <w:vMerge w:val="continue"/>
          </w:tcPr>
          <w:p>
            <w:pPr>
              <w:spacing w:after="0"/>
              <w:rPr>
                <w:sz w:val="5"/>
                <w:szCs w:val="5"/>
                <w:color w:val="auto"/>
              </w:rPr>
            </w:pPr>
          </w:p>
        </w:tc>
        <w:tc>
          <w:tcPr>
            <w:tcW w:w="16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Borders>
              <w:top w:val="single" w:sz="8" w:color="0000EE"/>
            </w:tcBorders>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40" w:type="dxa"/>
            <w:vAlign w:val="bottom"/>
            <w:gridSpan w:val="2"/>
          </w:tcPr>
          <w:p>
            <w:pPr>
              <w:spacing w:after="0"/>
              <w:rPr>
                <w:sz w:val="5"/>
                <w:szCs w:val="5"/>
                <w:color w:val="auto"/>
              </w:rPr>
            </w:pPr>
          </w:p>
        </w:tc>
        <w:tc>
          <w:tcPr>
            <w:tcW w:w="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140"/>
              <w:spacing w:after="0" w:line="117" w:lineRule="exact"/>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10"/>
                <w:szCs w:val="10"/>
                <w:color w:val="auto"/>
              </w:rPr>
            </w:pPr>
          </w:p>
        </w:tc>
        <w:tc>
          <w:tcPr>
            <w:tcW w:w="1440" w:type="dxa"/>
            <w:vAlign w:val="bottom"/>
            <w:gridSpan w:val="4"/>
          </w:tcPr>
          <w:p>
            <w:pPr>
              <w:ind w:left="200"/>
              <w:spacing w:after="0" w:line="117"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6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360" w:type="dxa"/>
            <w:vAlign w:val="bottom"/>
            <w:tcBorders>
              <w:top w:val="single" w:sz="8" w:color="EEEEEE"/>
            </w:tcBorders>
          </w:tcPr>
          <w:p>
            <w:pPr>
              <w:spacing w:after="0"/>
              <w:rPr>
                <w:sz w:val="12"/>
                <w:szCs w:val="12"/>
                <w:color w:val="auto"/>
              </w:rPr>
            </w:pPr>
          </w:p>
        </w:tc>
        <w:tc>
          <w:tcPr>
            <w:tcW w:w="160" w:type="dxa"/>
            <w:vAlign w:val="bottom"/>
            <w:tcBorders>
              <w:top w:val="single" w:sz="8" w:color="EEEEEE"/>
            </w:tcBorders>
          </w:tcPr>
          <w:p>
            <w:pPr>
              <w:spacing w:after="0"/>
              <w:rPr>
                <w:sz w:val="12"/>
                <w:szCs w:val="12"/>
                <w:color w:val="auto"/>
              </w:rPr>
            </w:pPr>
          </w:p>
        </w:tc>
        <w:tc>
          <w:tcPr>
            <w:tcW w:w="1220" w:type="dxa"/>
            <w:vAlign w:val="bottom"/>
            <w:tcBorders>
              <w:top w:val="single" w:sz="8" w:color="EEEEEE"/>
              <w:bottom w:val="single" w:sz="8" w:color="EEEEEE"/>
            </w:tcBorders>
            <w:gridSpan w:val="2"/>
            <w:vMerge w:val="restart"/>
          </w:tcPr>
          <w:p>
            <w:pPr>
              <w:ind w:left="20"/>
              <w:spacing w:after="0"/>
              <w:rPr>
                <w:sz w:val="20"/>
                <w:szCs w:val="20"/>
                <w:color w:val="auto"/>
              </w:rPr>
            </w:pPr>
            <w:r>
              <w:rPr>
                <w:rFonts w:ascii="Arial" w:cs="Arial" w:eastAsia="Arial" w:hAnsi="Arial"/>
                <w:sz w:val="12"/>
                <w:szCs w:val="12"/>
                <w:color w:val="auto"/>
              </w:rPr>
              <w:t>(First)</w:t>
            </w:r>
          </w:p>
        </w:tc>
        <w:tc>
          <w:tcPr>
            <w:tcW w:w="1100" w:type="dxa"/>
            <w:vAlign w:val="bottom"/>
            <w:tcBorders>
              <w:top w:val="single" w:sz="8" w:color="EEEEEE"/>
              <w:bottom w:val="single" w:sz="8" w:color="EEEEEE"/>
            </w:tcBorders>
            <w:vMerge w:val="restart"/>
          </w:tcPr>
          <w:p>
            <w:pPr>
              <w:ind w:left="20"/>
              <w:spacing w:after="0"/>
              <w:rPr>
                <w:sz w:val="20"/>
                <w:szCs w:val="20"/>
                <w:color w:val="auto"/>
              </w:rPr>
            </w:pPr>
            <w:r>
              <w:rPr>
                <w:rFonts w:ascii="Arial" w:cs="Arial" w:eastAsia="Arial" w:hAnsi="Arial"/>
                <w:sz w:val="12"/>
                <w:szCs w:val="12"/>
                <w:color w:val="auto"/>
              </w:rPr>
              <w:t>(Middle)</w:t>
            </w:r>
          </w:p>
        </w:tc>
        <w:tc>
          <w:tcPr>
            <w:tcW w:w="100" w:type="dxa"/>
            <w:vAlign w:val="bottom"/>
            <w:tcBorders>
              <w:top w:val="single" w:sz="8" w:color="EEEEEE"/>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ind w:left="140"/>
              <w:spacing w:after="0" w:line="115" w:lineRule="exact"/>
              <w:rPr>
                <w:sz w:val="20"/>
                <w:szCs w:val="20"/>
                <w:color w:val="auto"/>
              </w:rPr>
            </w:pPr>
            <w:r>
              <w:rPr>
                <w:rFonts w:ascii="Arial" w:cs="Arial" w:eastAsia="Arial" w:hAnsi="Arial"/>
                <w:sz w:val="12"/>
                <w:szCs w:val="12"/>
                <w:color w:val="auto"/>
              </w:rPr>
              <w:t>below)</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20" w:type="dxa"/>
            <w:vAlign w:val="bottom"/>
          </w:tcPr>
          <w:p>
            <w:pPr>
              <w:ind w:left="200"/>
              <w:spacing w:after="0" w:line="115" w:lineRule="exact"/>
              <w:rPr>
                <w:sz w:val="20"/>
                <w:szCs w:val="20"/>
                <w:color w:val="auto"/>
              </w:rPr>
            </w:pPr>
            <w:r>
              <w:rPr>
                <w:rFonts w:ascii="Arial" w:cs="Arial" w:eastAsia="Arial" w:hAnsi="Arial"/>
                <w:sz w:val="12"/>
                <w:szCs w:val="12"/>
                <w:color w:val="auto"/>
              </w:rPr>
              <w:t>below)</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860" w:type="dxa"/>
            <w:vAlign w:val="bottom"/>
            <w:gridSpan w:val="6"/>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60" w:type="dxa"/>
            <w:vAlign w:val="bottom"/>
            <w:gridSpan w:val="4"/>
            <w:vMerge w:val="restart"/>
          </w:tcPr>
          <w:p>
            <w:pPr>
              <w:ind w:left="46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color w:val="0000FF"/>
              </w:rPr>
              <w:t>C/O SOLV ENERGY, INC.</w:t>
            </w: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60" w:type="dxa"/>
            <w:vAlign w:val="bottom"/>
            <w:gridSpan w:val="6"/>
            <w:vMerge w:val="continue"/>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16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vMerge w:val="continue"/>
          </w:tcPr>
          <w:p>
            <w:pPr>
              <w:spacing w:after="0"/>
              <w:rPr>
                <w:sz w:val="18"/>
                <w:szCs w:val="18"/>
                <w:color w:val="auto"/>
              </w:rPr>
            </w:pPr>
          </w:p>
        </w:tc>
        <w:tc>
          <w:tcPr>
            <w:tcW w:w="1100" w:type="dxa"/>
            <w:vAlign w:val="bottom"/>
          </w:tcPr>
          <w:p>
            <w:pPr>
              <w:spacing w:after="0"/>
              <w:rPr>
                <w:sz w:val="18"/>
                <w:szCs w:val="18"/>
                <w:color w:val="auto"/>
              </w:rPr>
            </w:pPr>
          </w:p>
        </w:tc>
        <w:tc>
          <w:tcPr>
            <w:tcW w:w="172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0000FF"/>
              </w:rPr>
              <w:t>06/04/2026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16680 WEST BERNARDO DRIVE</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9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500" w:type="dxa"/>
            <w:vAlign w:val="bottom"/>
            <w:tcBorders>
              <w:bottom w:val="single" w:sz="8" w:color="808080"/>
            </w:tcBorders>
            <w:gridSpan w:val="3"/>
          </w:tcPr>
          <w:p>
            <w:pPr>
              <w:spacing w:after="0"/>
              <w:rPr>
                <w:sz w:val="17"/>
                <w:szCs w:val="17"/>
                <w:color w:val="auto"/>
              </w:rPr>
            </w:pPr>
          </w:p>
        </w:tc>
        <w:tc>
          <w:tcPr>
            <w:tcW w:w="20" w:type="dxa"/>
            <w:vAlign w:val="bottom"/>
            <w:tcBorders>
              <w:bottom w:val="single" w:sz="8" w:color="808080"/>
            </w:tcBorders>
          </w:tcPr>
          <w:p>
            <w:pPr>
              <w:spacing w:after="0"/>
              <w:rPr>
                <w:sz w:val="17"/>
                <w:szCs w:val="17"/>
                <w:color w:val="auto"/>
              </w:rPr>
            </w:pPr>
          </w:p>
        </w:tc>
        <w:tc>
          <w:tcPr>
            <w:tcW w:w="1980" w:type="dxa"/>
            <w:vAlign w:val="bottom"/>
            <w:tcBorders>
              <w:bottom w:val="single" w:sz="8" w:color="808080"/>
            </w:tcBorders>
            <w:gridSpan w:val="3"/>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400" w:type="dxa"/>
            <w:vAlign w:val="bottom"/>
            <w:tcBorders>
              <w:bottom w:val="single" w:sz="8" w:color="808080"/>
            </w:tcBorders>
          </w:tcPr>
          <w:p>
            <w:pPr>
              <w:spacing w:after="0"/>
              <w:rPr>
                <w:sz w:val="17"/>
                <w:szCs w:val="17"/>
                <w:color w:val="auto"/>
              </w:rPr>
            </w:pPr>
          </w:p>
        </w:tc>
        <w:tc>
          <w:tcPr>
            <w:tcW w:w="2900" w:type="dxa"/>
            <w:vAlign w:val="bottom"/>
            <w:tcBorders>
              <w:bottom w:val="single" w:sz="8" w:color="808080"/>
            </w:tcBorders>
            <w:gridSpan w:val="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2C2C2C"/>
            </w:tcBorders>
          </w:tcPr>
          <w:p>
            <w:pPr>
              <w:spacing w:after="0"/>
              <w:rPr>
                <w:sz w:val="17"/>
                <w:szCs w:val="17"/>
                <w:color w:val="auto"/>
              </w:rPr>
            </w:pPr>
          </w:p>
        </w:tc>
        <w:tc>
          <w:tcPr>
            <w:tcW w:w="350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260" w:type="dxa"/>
            <w:vAlign w:val="bottom"/>
            <w:tcBorders>
              <w:top w:val="single" w:sz="8" w:color="2C2C2C"/>
            </w:tcBorders>
          </w:tcPr>
          <w:p>
            <w:pPr>
              <w:spacing w:after="0"/>
              <w:rPr>
                <w:sz w:val="17"/>
                <w:szCs w:val="17"/>
                <w:color w:val="auto"/>
              </w:rPr>
            </w:pPr>
          </w:p>
        </w:tc>
        <w:tc>
          <w:tcPr>
            <w:tcW w:w="330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SAN DIEGO</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8"/>
              </w:rPr>
              <w:t>CA</w:t>
            </w:r>
          </w:p>
        </w:tc>
        <w:tc>
          <w:tcPr>
            <w:tcW w:w="96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92127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6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2"/>
                <w:szCs w:val="12"/>
                <w:color w:val="auto"/>
              </w:rPr>
              <w:t>(City)</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tcPr>
          <w:p>
            <w:pPr>
              <w:ind w:left="20"/>
              <w:spacing w:after="0"/>
              <w:rPr>
                <w:sz w:val="20"/>
                <w:szCs w:val="20"/>
                <w:color w:val="auto"/>
              </w:rPr>
            </w:pPr>
            <w:r>
              <w:rPr>
                <w:rFonts w:ascii="Arial" w:cs="Arial" w:eastAsia="Arial" w:hAnsi="Arial"/>
                <w:sz w:val="12"/>
                <w:szCs w:val="12"/>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3"/>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6"/>
          </w:tcPr>
          <w:p>
            <w:pPr>
              <w:ind w:left="8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8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3"/>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jc w:val="right"/>
              <w:ind w:right="10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40" w:type="dxa"/>
            <w:vAlign w:val="bottom"/>
            <w:gridSpan w:val="5"/>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50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gridSpan w:val="3"/>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30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136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3"/>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5"/>
          </w:tcPr>
          <w:p>
            <w:pPr>
              <w:jc w:val="right"/>
              <w:ind w:right="2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0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60" w:type="dxa"/>
            <w:vAlign w:val="bottom"/>
            <w:gridSpan w:val="14"/>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gridSpan w:val="2"/>
          </w:tcPr>
          <w:p>
            <w:pPr>
              <w:spacing w:after="0"/>
              <w:rPr>
                <w:sz w:val="2"/>
                <w:szCs w:val="2"/>
                <w:color w:val="auto"/>
              </w:rPr>
            </w:pPr>
          </w:p>
        </w:tc>
        <w:tc>
          <w:tcPr>
            <w:tcW w:w="134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4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34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Security (Instr. 3 and</w:t>
            </w:r>
          </w:p>
        </w:tc>
        <w:tc>
          <w:tcPr>
            <w:tcW w:w="7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gridSpan w:val="3"/>
          </w:tcPr>
          <w:p>
            <w:pPr>
              <w:jc w:val="right"/>
              <w:ind w:right="100"/>
              <w:spacing w:after="0" w:line="125" w:lineRule="exact"/>
              <w:rPr>
                <w:sz w:val="20"/>
                <w:szCs w:val="20"/>
                <w:color w:val="auto"/>
              </w:rPr>
            </w:pPr>
            <w:r>
              <w:rPr>
                <w:rFonts w:ascii="Arial" w:cs="Arial" w:eastAsia="Arial" w:hAnsi="Arial"/>
                <w:sz w:val="11"/>
                <w:szCs w:val="11"/>
                <w:b w:val="1"/>
                <w:bCs w:val="1"/>
                <w:color w:val="auto"/>
              </w:rPr>
              <w:t>Amount or</w:t>
            </w:r>
          </w:p>
        </w:tc>
        <w:tc>
          <w:tcPr>
            <w:tcW w:w="700" w:type="dxa"/>
            <w:vAlign w:val="bottom"/>
          </w:tcPr>
          <w:p>
            <w:pPr>
              <w:spacing w:after="0"/>
              <w:rPr>
                <w:sz w:val="10"/>
                <w:szCs w:val="10"/>
                <w:color w:val="auto"/>
              </w:rPr>
            </w:pPr>
          </w:p>
        </w:tc>
        <w:tc>
          <w:tcPr>
            <w:tcW w:w="50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line="125" w:lineRule="exact"/>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0"/>
                <w:szCs w:val="10"/>
                <w:color w:val="auto"/>
              </w:rPr>
            </w:pPr>
          </w:p>
        </w:tc>
        <w:tc>
          <w:tcPr>
            <w:tcW w:w="700" w:type="dxa"/>
            <w:vAlign w:val="bottom"/>
            <w:gridSpan w:val="3"/>
          </w:tcPr>
          <w:p>
            <w:pPr>
              <w:jc w:val="right"/>
              <w:ind w:right="100"/>
              <w:spacing w:after="0" w:line="125" w:lineRule="exact"/>
              <w:rPr>
                <w:sz w:val="20"/>
                <w:szCs w:val="20"/>
                <w:color w:val="auto"/>
              </w:rPr>
            </w:pPr>
            <w:r>
              <w:rPr>
                <w:rFonts w:ascii="Arial" w:cs="Arial" w:eastAsia="Arial" w:hAnsi="Arial"/>
                <w:sz w:val="11"/>
                <w:szCs w:val="11"/>
                <w:b w:val="1"/>
                <w:bCs w:val="1"/>
                <w:color w:val="auto"/>
              </w:rPr>
              <w:t>Number of</w:t>
            </w: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8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Exercisable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ind w:left="4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SOLV</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Energy</w:t>
            </w:r>
          </w:p>
        </w:tc>
        <w:tc>
          <w:tcPr>
            <w:tcW w:w="5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(1)(2)</w:t>
            </w: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13,264</w:t>
            </w:r>
            <w:r>
              <w:rPr>
                <w:rFonts w:ascii="Times New Roman" w:cs="Times New Roman" w:eastAsia="Times New Roman" w:hAnsi="Times New Roman"/>
                <w:sz w:val="20"/>
                <w:szCs w:val="20"/>
                <w:color w:val="008000"/>
                <w:vertAlign w:val="superscript"/>
              </w:rPr>
              <w:t>(3)</w:t>
            </w:r>
          </w:p>
        </w:tc>
        <w:tc>
          <w:tcPr>
            <w:tcW w:w="7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0"/>
                <w:szCs w:val="10"/>
                <w:color w:val="008000"/>
              </w:rPr>
              <w:t>(1)(2)</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008000"/>
              </w:rPr>
              <w:t>(1)(2)</w:t>
            </w:r>
          </w:p>
        </w:tc>
        <w:tc>
          <w:tcPr>
            <w:tcW w:w="640" w:type="dxa"/>
            <w:vAlign w:val="bottom"/>
          </w:tcPr>
          <w:p>
            <w:pPr>
              <w:ind w:left="120"/>
              <w:spacing w:after="0"/>
              <w:rPr>
                <w:sz w:val="20"/>
                <w:szCs w:val="20"/>
                <w:color w:val="auto"/>
              </w:rPr>
            </w:pPr>
            <w:r>
              <w:rPr>
                <w:rFonts w:ascii="Times New Roman" w:cs="Times New Roman" w:eastAsia="Times New Roman" w:hAnsi="Times New Roman"/>
                <w:sz w:val="12"/>
                <w:szCs w:val="12"/>
                <w:color w:val="0000FF"/>
              </w:rPr>
              <w:t>Class A</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w w:val="97"/>
              </w:rPr>
              <w:t>13,264</w:t>
            </w:r>
            <w:r>
              <w:rPr>
                <w:rFonts w:ascii="Times New Roman" w:cs="Times New Roman" w:eastAsia="Times New Roman" w:hAnsi="Times New Roman"/>
                <w:sz w:val="20"/>
                <w:szCs w:val="20"/>
                <w:color w:val="008000"/>
                <w:w w:val="97"/>
                <w:vertAlign w:val="superscript"/>
              </w:rPr>
              <w:t>(3)</w:t>
            </w:r>
          </w:p>
        </w:tc>
        <w:tc>
          <w:tcPr>
            <w:tcW w:w="40" w:type="dxa"/>
            <w:vAlign w:val="bottom"/>
          </w:tcPr>
          <w:p>
            <w:pPr>
              <w:spacing w:after="0"/>
              <w:rPr>
                <w:sz w:val="11"/>
                <w:szCs w:val="11"/>
                <w:color w:val="auto"/>
              </w:rPr>
            </w:pPr>
          </w:p>
        </w:tc>
        <w:tc>
          <w:tcPr>
            <w:tcW w:w="700" w:type="dxa"/>
            <w:vAlign w:val="bottom"/>
            <w:vMerge w:val="restart"/>
          </w:tcPr>
          <w:p>
            <w:pPr>
              <w:jc w:val="right"/>
              <w:ind w:right="281"/>
              <w:spacing w:after="0"/>
              <w:rPr>
                <w:sz w:val="20"/>
                <w:szCs w:val="20"/>
                <w:color w:val="auto"/>
              </w:rPr>
            </w:pPr>
            <w:r>
              <w:rPr>
                <w:rFonts w:ascii="Times New Roman" w:cs="Times New Roman" w:eastAsia="Times New Roman" w:hAnsi="Times New Roman"/>
                <w:sz w:val="10"/>
                <w:szCs w:val="10"/>
                <w:color w:val="008000"/>
              </w:rPr>
              <w:t>(4)</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Management</w:t>
            </w:r>
          </w:p>
        </w:tc>
        <w:tc>
          <w:tcPr>
            <w:tcW w:w="5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ind w:left="200"/>
              <w:spacing w:after="0"/>
              <w:rPr>
                <w:sz w:val="20"/>
                <w:szCs w:val="20"/>
                <w:color w:val="auto"/>
              </w:rPr>
            </w:pPr>
            <w:r>
              <w:rPr>
                <w:rFonts w:ascii="Times New Roman" w:cs="Times New Roman" w:eastAsia="Times New Roman" w:hAnsi="Times New Roman"/>
                <w:sz w:val="12"/>
                <w:szCs w:val="12"/>
                <w:color w:val="0000FF"/>
              </w:rPr>
              <w:t>06/04/2026</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w:t>
            </w:r>
          </w:p>
        </w:tc>
        <w:tc>
          <w:tcPr>
            <w:tcW w:w="980" w:type="dxa"/>
            <w:vAlign w:val="bottom"/>
            <w:vMerge w:val="continue"/>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2"/>
                <w:szCs w:val="12"/>
                <w:color w:val="0000FF"/>
              </w:rPr>
              <w:t>Common</w:t>
            </w:r>
          </w:p>
        </w:tc>
        <w:tc>
          <w:tcPr>
            <w:tcW w:w="6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0000FF"/>
              </w:rPr>
              <w:t>952,408</w:t>
            </w:r>
          </w:p>
        </w:tc>
        <w:tc>
          <w:tcPr>
            <w:tcW w:w="6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8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Holdings LP</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Units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0"/>
          <w:szCs w:val="20"/>
          <w:color w:val="auto"/>
        </w:rPr>
      </w:pPr>
    </w:p>
    <w:p>
      <w:pPr>
        <w:jc w:val="both"/>
        <w:ind w:left="40" w:right="200" w:hanging="3"/>
        <w:spacing w:after="0" w:line="253"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Limited Partnership Agreement ("MH LPA") of SOLV Energy Management Holdings LP ("MH") and limited liability company agreement ("Opco LLCA") of SOLV Energy Holdings LLC ("Opco"), the Reporting Person is indirectly entitled to redeem common units of Opco ("Opco LLC Interests") held by MH for, at the Issuer's election, shares of Class A common stock of the Issuer ("Class A common stock") on a one-for-one basis or, using proceeds from a substantially contemporaneous follow-on offering or secondary offering, a cash payment equal to the price per share of the Class A common stock net of any underwriting discounts or commissions paid in such offering, in each case in accordance with the terms of the MH LPA and the Opco LLCA.</w:t>
      </w:r>
    </w:p>
    <w:p>
      <w:pPr>
        <w:spacing w:after="0" w:line="17" w:lineRule="exact"/>
        <w:rPr>
          <w:rFonts w:ascii="Times New Roman" w:cs="Times New Roman" w:eastAsia="Times New Roman" w:hAnsi="Times New Roman"/>
          <w:sz w:val="12"/>
          <w:szCs w:val="12"/>
          <w:color w:val="008000"/>
        </w:rPr>
      </w:pPr>
    </w:p>
    <w:p>
      <w:pPr>
        <w:ind w:left="40" w:right="140" w:hanging="3"/>
        <w:spacing w:after="0" w:line="260"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1) Upon a redemption of Opco LLC Interests by MH, an equal number of shares of Class B common stock of the Issuer held by MH will be surrendered to and cancelled by the Issuer for no additional consideration, and an equal number of limited partnership units in MH ("MH Units") held by the Reporting Person will be cancelled by MH. In accordance with the MH LPA, each share of Class B common stock held by MH entitles the Reporting Person to one vote per share but carries no economic rights. Opco LLC Interests and MH Units do not have an expiration date.</w:t>
      </w:r>
    </w:p>
    <w:p>
      <w:pPr>
        <w:spacing w:after="0" w:line="13" w:lineRule="exact"/>
        <w:rPr>
          <w:rFonts w:ascii="Times New Roman" w:cs="Times New Roman" w:eastAsia="Times New Roman" w:hAnsi="Times New Roman"/>
          <w:sz w:val="12"/>
          <w:szCs w:val="12"/>
          <w:color w:val="008000"/>
        </w:rPr>
      </w:pPr>
    </w:p>
    <w:p>
      <w:pPr>
        <w:ind w:left="40" w:right="180" w:hanging="3"/>
        <w:spacing w:after="0" w:line="253"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accordance with the terms of the MH LPA and Opco LLCA, represents the required, automatic and non-discretionary pro rata direct redemption for cash of 13,264 MH Units held by the Reporting Person (and the corresponding (i) surrender of an equal number of Opco LLC Interests held by MH and (ii) cancellation of an equal number of shares of Class B common stock of the Issuer held by MH) as a result of the full exercise of the underwriters' option to purchase additional shares of Class A common stock in connection with the public offering of Class A common stock by affiliates of American Securities LLC and the Issuer pursuant to the prospectus dated May 28, 2026, and accompanying registration statement on Form S-1 (File No. 333-296238), of the Issuer (the "Follow-On Offering").</w:t>
      </w:r>
    </w:p>
    <w:p>
      <w:pPr>
        <w:spacing w:after="0" w:line="17"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price per MH Unit equal to the public offering price in the Follow-On Offering of $36.00 per share of Class A common stock, net of underwriting discounts and commissions.</w:t>
      </w:r>
    </w:p>
    <w:p>
      <w:pPr>
        <w:spacing w:after="0" w:line="66"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Adam S. Forman, attorney-</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06/05/2026</w:t>
            </w:r>
          </w:p>
        </w:tc>
        <w:tc>
          <w:tcPr>
            <w:tcW w:w="0" w:type="dxa"/>
            <w:vAlign w:val="bottom"/>
          </w:tcPr>
          <w:p>
            <w:pPr>
              <w:spacing w:after="0"/>
              <w:rPr>
                <w:sz w:val="1"/>
                <w:szCs w:val="1"/>
                <w:color w:val="auto"/>
              </w:rPr>
            </w:pPr>
          </w:p>
        </w:tc>
      </w:tr>
      <w:tr>
        <w:trPr>
          <w:trHeight w:val="80"/>
        </w:trPr>
        <w:tc>
          <w:tcPr>
            <w:tcW w:w="42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vMerge w:val="continue"/>
          </w:tcPr>
          <w:p>
            <w:pPr>
              <w:spacing w:after="0"/>
              <w:rPr>
                <w:sz w:val="6"/>
                <w:szCs w:val="6"/>
                <w:color w:val="auto"/>
              </w:rPr>
            </w:pPr>
          </w:p>
        </w:tc>
        <w:tc>
          <w:tcPr>
            <w:tcW w:w="16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85648" TargetMode="External"/><Relationship Id="rId14" Type="http://schemas.openxmlformats.org/officeDocument/2006/relationships/hyperlink" Target="http://www.sec.gov/cgi-bin/browse-edgar?action=getcompany&amp;CIK=000206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2026-06-05T15:55:26Z</dcterms:created>
  <dcterms:modified xsi:type="dcterms:W3CDTF">2026-06-05T15:55:26Z</dcterms:modified>
</cp:coreProperties>
</file>